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4C" w:rsidRDefault="00C8354C" w:rsidP="00C8354C">
      <w:pPr>
        <w:pStyle w:val="NormalWeb"/>
        <w:spacing w:before="60" w:beforeAutospacing="0" w:after="60" w:afterAutospacing="0" w:line="264" w:lineRule="auto"/>
        <w:ind w:firstLine="720"/>
        <w:jc w:val="both"/>
        <w:rPr>
          <w:b/>
          <w:color w:val="2E2E2E"/>
          <w:sz w:val="26"/>
          <w:szCs w:val="26"/>
        </w:rPr>
      </w:pPr>
      <w:r w:rsidRPr="006A39D4">
        <w:rPr>
          <w:b/>
          <w:color w:val="2E2E2E"/>
          <w:sz w:val="28"/>
          <w:szCs w:val="28"/>
        </w:rPr>
        <w:t xml:space="preserve">II. </w:t>
      </w:r>
      <w:r w:rsidRPr="006A39D4">
        <w:rPr>
          <w:b/>
          <w:color w:val="2E2E2E"/>
          <w:sz w:val="26"/>
          <w:szCs w:val="26"/>
        </w:rPr>
        <w:t>QUY</w:t>
      </w:r>
      <w:r w:rsidRPr="004662D5">
        <w:rPr>
          <w:b/>
          <w:color w:val="2E2E2E"/>
          <w:sz w:val="26"/>
          <w:szCs w:val="26"/>
        </w:rPr>
        <w:t xml:space="preserve"> TRÌNH</w:t>
      </w:r>
      <w:r>
        <w:rPr>
          <w:b/>
          <w:color w:val="2E2E2E"/>
          <w:sz w:val="26"/>
          <w:szCs w:val="26"/>
        </w:rPr>
        <w:t>,</w:t>
      </w:r>
      <w:r w:rsidRPr="004662D5">
        <w:rPr>
          <w:b/>
          <w:color w:val="2E2E2E"/>
          <w:sz w:val="26"/>
          <w:szCs w:val="26"/>
        </w:rPr>
        <w:t xml:space="preserve"> THỦ TỤC CẤP MÃ CHỨNG KHOÁN</w:t>
      </w:r>
      <w:r>
        <w:rPr>
          <w:b/>
          <w:color w:val="2E2E2E"/>
          <w:sz w:val="26"/>
          <w:szCs w:val="26"/>
        </w:rPr>
        <w:t xml:space="preserve"> LÀ </w:t>
      </w:r>
      <w:r w:rsidRPr="007C31F9">
        <w:rPr>
          <w:b/>
          <w:color w:val="2E2E2E"/>
          <w:sz w:val="26"/>
          <w:szCs w:val="26"/>
          <w:lang w:val="vi-VN"/>
        </w:rPr>
        <w:t xml:space="preserve">TRÁI PHIẾU ĐƯỢC CHÍNH PHỦ BẢO LÃNH, TRÁI PHIẾU CHÍNH QUYỀN </w:t>
      </w:r>
      <w:r>
        <w:rPr>
          <w:b/>
          <w:color w:val="2E2E2E"/>
          <w:sz w:val="26"/>
          <w:szCs w:val="26"/>
          <w:lang w:val="vi-VN"/>
        </w:rPr>
        <w:t xml:space="preserve">ĐỊA PHƯƠNG VÀ TÍN PHIẾU </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rPr>
      </w:pPr>
      <w:r w:rsidRPr="007C31F9">
        <w:rPr>
          <w:rFonts w:ascii="Times New Roman" w:eastAsia="Times New Roman" w:hAnsi="Times New Roman" w:cs="Times New Roman"/>
          <w:b/>
          <w:color w:val="2E2E2E"/>
          <w:sz w:val="28"/>
          <w:szCs w:val="28"/>
        </w:rPr>
        <w:t xml:space="preserve">- Trình tự thực hiện:  </w:t>
      </w:r>
    </w:p>
    <w:p w:rsidR="00C8354C" w:rsidRPr="007C31F9" w:rsidRDefault="00C8354C" w:rsidP="00C8354C">
      <w:pPr>
        <w:pStyle w:val="Header"/>
        <w:tabs>
          <w:tab w:val="clear" w:pos="4320"/>
          <w:tab w:val="clear" w:pos="8640"/>
        </w:tabs>
        <w:spacing w:before="60" w:after="60" w:line="264" w:lineRule="auto"/>
        <w:ind w:firstLine="547"/>
        <w:jc w:val="both"/>
        <w:rPr>
          <w:rFonts w:ascii="Times New Roman" w:hAnsi="Times New Roman"/>
          <w:color w:val="2E2E2E"/>
          <w:szCs w:val="28"/>
          <w:lang w:val="nl-NL"/>
        </w:rPr>
      </w:pPr>
      <w:r w:rsidRPr="007C31F9">
        <w:rPr>
          <w:rFonts w:ascii="Times New Roman" w:hAnsi="Times New Roman"/>
          <w:color w:val="2E2E2E"/>
          <w:szCs w:val="28"/>
          <w:lang w:val="nl-NL"/>
        </w:rPr>
        <w:t xml:space="preserve">+ Bước </w:t>
      </w:r>
      <w:r w:rsidRPr="007C31F9">
        <w:rPr>
          <w:rFonts w:ascii="Times New Roman" w:hAnsi="Times New Roman"/>
          <w:color w:val="2E2E2E"/>
          <w:szCs w:val="28"/>
          <w:lang w:val="vi-VN"/>
        </w:rPr>
        <w:t>1</w:t>
      </w:r>
      <w:r w:rsidRPr="007C31F9">
        <w:rPr>
          <w:rFonts w:ascii="Times New Roman" w:hAnsi="Times New Roman"/>
          <w:color w:val="2E2E2E"/>
          <w:szCs w:val="28"/>
          <w:lang w:val="nl-NL"/>
        </w:rPr>
        <w:t xml:space="preserve">: </w:t>
      </w:r>
      <w:r w:rsidRPr="007C31F9">
        <w:rPr>
          <w:rFonts w:ascii="Times New Roman" w:hAnsi="Times New Roman"/>
          <w:color w:val="2E2E2E"/>
          <w:szCs w:val="28"/>
          <w:lang w:val="vi-VN"/>
        </w:rPr>
        <w:t>Căn cứ</w:t>
      </w:r>
      <w:r w:rsidRPr="007C31F9">
        <w:rPr>
          <w:rFonts w:ascii="Times New Roman" w:hAnsi="Times New Roman"/>
          <w:szCs w:val="28"/>
          <w:lang w:val="vi-VN"/>
        </w:rPr>
        <w:t xml:space="preserve"> Công văn của TCPH về việc đề nghị tổ chức đợt đấu thầu trái </w:t>
      </w:r>
      <w:r w:rsidRPr="00B92639">
        <w:rPr>
          <w:rFonts w:ascii="Times New Roman" w:hAnsi="Times New Roman"/>
          <w:szCs w:val="28"/>
          <w:lang w:val="vi-VN"/>
        </w:rPr>
        <w:t xml:space="preserve">phiếu/tín phiếu gửi VSD trước 06 ngày làm việc và kết quả đấu thầu trái phiếu từ Sở Giao dịch Chứng khoán Hà Nội (HNX) hoặc kết quả đấu thầu tín phiếu từ Sở Giao dịch Ngân hàng Nhà nước Việt Nam, VSD sẽ thực hiện việc đăng ký và cấp mã chính thức (bao gồm mã ISIN) cho các mã trái phiếu/ tín phiếu trúng thầu, </w:t>
      </w:r>
      <w:r w:rsidRPr="00B92639">
        <w:rPr>
          <w:rFonts w:ascii="Times New Roman" w:hAnsi="Times New Roman"/>
          <w:color w:val="2E2E2E"/>
          <w:szCs w:val="28"/>
          <w:lang w:val="vi-VN"/>
        </w:rPr>
        <w:t xml:space="preserve">hồ sơ </w:t>
      </w:r>
      <w:r w:rsidRPr="00B92639">
        <w:rPr>
          <w:rFonts w:ascii="Times New Roman" w:hAnsi="Times New Roman"/>
          <w:color w:val="2E2E2E"/>
          <w:szCs w:val="28"/>
          <w:lang w:val="nl-NL"/>
        </w:rPr>
        <w:t>quy định tại Điều 6 Quy chế hoạt động đăng ký chứng khoán ban hành kèm theo Quyết định số 36/QĐ-VSD ngày 25/4/2012</w:t>
      </w:r>
      <w:r w:rsidRPr="00B92639">
        <w:rPr>
          <w:rFonts w:ascii="Times New Roman" w:hAnsi="Times New Roman"/>
          <w:color w:val="2E2E2E"/>
          <w:szCs w:val="28"/>
          <w:lang w:val="vi-VN"/>
        </w:rPr>
        <w:t xml:space="preserve"> và Điều 3 Quy chế hoạt động đăng ký, lưu ký, bù trừ và thanh toán giao dịch tín phiếu kho bạc</w:t>
      </w:r>
      <w:r w:rsidRPr="00B92639">
        <w:rPr>
          <w:rFonts w:ascii="Times New Roman" w:hAnsi="Times New Roman"/>
          <w:color w:val="2E2E2E"/>
          <w:szCs w:val="28"/>
          <w:lang w:val="nl-NL"/>
        </w:rPr>
        <w:t xml:space="preserve"> </w:t>
      </w:r>
      <w:r w:rsidRPr="00B92639">
        <w:rPr>
          <w:rFonts w:ascii="Times New Roman" w:hAnsi="Times New Roman"/>
          <w:color w:val="2E2E2E"/>
          <w:szCs w:val="28"/>
          <w:lang w:val="vi-VN"/>
        </w:rPr>
        <w:t xml:space="preserve">ban hành kèm theo Quyết định 150/QĐ-VSD ngày 21/08/2012 </w:t>
      </w:r>
      <w:r w:rsidRPr="00B92639">
        <w:rPr>
          <w:rFonts w:ascii="Times New Roman" w:hAnsi="Times New Roman"/>
          <w:color w:val="2E2E2E"/>
          <w:szCs w:val="28"/>
          <w:lang w:val="nl-NL"/>
        </w:rPr>
        <w:t>và gửi trực tiếp hoặc theo đường bưu điện tới VSD.</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 xml:space="preserve">+ Bước 2: VSD nhận hồ sơ, chuyển cho đơn vị thẩm định và xử lý  </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Trường hợp hồ sơ đầy đủ và hợp lệ: VSD thực hiện cấp Giấy chứng nhận đăng ký chứng khoán đồng thời với việc cấp mã chứng khoán</w:t>
      </w:r>
      <w:r>
        <w:rPr>
          <w:rFonts w:ascii="Times New Roman" w:eastAsia="Times New Roman" w:hAnsi="Times New Roman" w:cs="Times New Roman"/>
          <w:sz w:val="28"/>
          <w:szCs w:val="28"/>
        </w:rPr>
        <w:t xml:space="preserve"> và mã số định danh chứng khoán quốc tế (ISIN)</w:t>
      </w:r>
      <w:r w:rsidRPr="00C1081D">
        <w:rPr>
          <w:rFonts w:ascii="Times New Roman" w:eastAsia="Times New Roman" w:hAnsi="Times New Roman" w:cs="Times New Roman"/>
          <w:sz w:val="28"/>
          <w:szCs w:val="28"/>
          <w:lang w:val="vi-VN"/>
        </w:rPr>
        <w:t xml:space="preserve"> cho TCPH.</w:t>
      </w:r>
    </w:p>
    <w:p w:rsidR="00C8354C" w:rsidRPr="00C1081D"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C1081D">
        <w:rPr>
          <w:rFonts w:ascii="Times New Roman" w:eastAsia="Times New Roman" w:hAnsi="Times New Roman" w:cs="Times New Roman"/>
          <w:sz w:val="28"/>
          <w:szCs w:val="28"/>
          <w:lang w:val="vi-VN"/>
        </w:rPr>
        <w:t>Trường hợp hồ sơ chưa đầy đủ hoặc không hợp lệ: gửi văn bản thông báo cho TCPH đề nghị bổ sung và hoàn thiện hồ sơ cho TCPH.</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nl-NL"/>
        </w:rPr>
      </w:pPr>
      <w:r w:rsidRPr="007C31F9">
        <w:rPr>
          <w:rFonts w:ascii="Times New Roman" w:eastAsia="Times New Roman" w:hAnsi="Times New Roman" w:cs="Times New Roman"/>
          <w:b/>
          <w:color w:val="2E2E2E"/>
          <w:sz w:val="28"/>
          <w:szCs w:val="28"/>
          <w:lang w:val="nl-NL"/>
        </w:rPr>
        <w:t xml:space="preserve">- Cách thức thực hiện: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sidRPr="007C31F9">
        <w:rPr>
          <w:rFonts w:ascii="Times New Roman" w:eastAsia="Times New Roman" w:hAnsi="Times New Roman" w:cs="Times New Roman"/>
          <w:color w:val="2E2E2E"/>
          <w:sz w:val="28"/>
          <w:szCs w:val="28"/>
          <w:lang w:val="nl-NL"/>
        </w:rPr>
        <w:t xml:space="preserve">Gửi Hồ sơ đăng ký chứng khoán bằng bản Fax và theo đường công văn tại Trụ sở chính </w:t>
      </w:r>
    </w:p>
    <w:p w:rsidR="00C8354C"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C8300B">
        <w:rPr>
          <w:rFonts w:ascii="Times New Roman" w:eastAsia="Times New Roman" w:hAnsi="Times New Roman" w:cs="Times New Roman"/>
          <w:b/>
          <w:color w:val="2E2E2E"/>
          <w:sz w:val="28"/>
          <w:szCs w:val="28"/>
          <w:lang w:val="nl-NL"/>
        </w:rPr>
        <w:t>- Thành phần, số lượng hồ sơ:</w:t>
      </w:r>
    </w:p>
    <w:p w:rsidR="00C8354C" w:rsidRPr="00C8300B"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sidRPr="00C8300B">
        <w:rPr>
          <w:rFonts w:ascii="Times New Roman" w:eastAsia="Times New Roman" w:hAnsi="Times New Roman" w:cs="Times New Roman"/>
          <w:color w:val="2E2E2E"/>
          <w:sz w:val="28"/>
          <w:szCs w:val="28"/>
          <w:lang w:val="nl-NL"/>
        </w:rPr>
        <w:t>+ Công văn của TCPH về việc đề nghị tổ chức đợt đấu thầu trái phiếu/tín phiếu (gửi VSD trước 06 ngày làm việc)</w:t>
      </w:r>
    </w:p>
    <w:p w:rsidR="00C8354C" w:rsidRPr="00B92639" w:rsidRDefault="00C8354C" w:rsidP="00C8354C">
      <w:pPr>
        <w:spacing w:before="60" w:after="60" w:line="264" w:lineRule="auto"/>
        <w:ind w:firstLine="600"/>
        <w:jc w:val="both"/>
        <w:rPr>
          <w:rFonts w:ascii="Times New Roman" w:eastAsia="Times New Roman" w:hAnsi="Times New Roman" w:cs="Times New Roman"/>
          <w:i/>
          <w:color w:val="2E2E2E"/>
          <w:sz w:val="28"/>
          <w:szCs w:val="28"/>
          <w:lang w:val="vi-VN"/>
        </w:rPr>
      </w:pPr>
      <w:r w:rsidRPr="00C8300B">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vi-VN"/>
        </w:rPr>
        <w:t xml:space="preserve">Văn bản của </w:t>
      </w:r>
      <w:r w:rsidRPr="00B92639">
        <w:rPr>
          <w:rFonts w:ascii="Times New Roman" w:eastAsia="Times New Roman" w:hAnsi="Times New Roman" w:cs="Times New Roman"/>
          <w:color w:val="2E2E2E"/>
          <w:sz w:val="28"/>
          <w:szCs w:val="28"/>
          <w:lang w:val="nl-NL"/>
        </w:rPr>
        <w:t>Sở Giao dịch Chứng khoán Hà Nội (HNX)</w:t>
      </w:r>
      <w:r w:rsidRPr="00B92639">
        <w:rPr>
          <w:rFonts w:ascii="Times New Roman" w:eastAsia="Times New Roman" w:hAnsi="Times New Roman" w:cs="Times New Roman"/>
          <w:color w:val="2E2E2E"/>
          <w:sz w:val="28"/>
          <w:szCs w:val="28"/>
          <w:lang w:val="vi-VN"/>
        </w:rPr>
        <w:t xml:space="preserve"> thông báo k</w:t>
      </w:r>
      <w:r w:rsidRPr="00B92639">
        <w:rPr>
          <w:rFonts w:ascii="Times New Roman" w:eastAsia="Times New Roman" w:hAnsi="Times New Roman" w:cs="Times New Roman"/>
          <w:color w:val="2E2E2E"/>
          <w:sz w:val="28"/>
          <w:szCs w:val="28"/>
          <w:lang w:val="nl-NL"/>
        </w:rPr>
        <w:t xml:space="preserve">ết quả đấu thầu trái phiếu </w:t>
      </w:r>
      <w:r w:rsidRPr="00B92639">
        <w:rPr>
          <w:rFonts w:ascii="Times New Roman" w:eastAsia="Times New Roman" w:hAnsi="Times New Roman" w:cs="Times New Roman"/>
          <w:i/>
          <w:color w:val="2E2E2E"/>
          <w:sz w:val="28"/>
          <w:szCs w:val="28"/>
          <w:lang w:val="vi-VN"/>
        </w:rPr>
        <w:t>(đối với trái phiếu)</w:t>
      </w:r>
    </w:p>
    <w:p w:rsidR="00C8354C" w:rsidRPr="00B92639" w:rsidRDefault="00C8354C" w:rsidP="00C8354C">
      <w:pPr>
        <w:spacing w:before="60" w:after="60" w:line="264" w:lineRule="auto"/>
        <w:ind w:firstLine="600"/>
        <w:jc w:val="both"/>
        <w:rPr>
          <w:rFonts w:ascii="Times New Roman" w:eastAsia="Times New Roman" w:hAnsi="Times New Roman" w:cs="Times New Roman"/>
          <w:i/>
          <w:color w:val="2E2E2E"/>
          <w:sz w:val="28"/>
          <w:szCs w:val="28"/>
          <w:lang w:val="vi-VN"/>
        </w:rPr>
      </w:pPr>
      <w:r w:rsidRPr="00B92639">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vi-VN"/>
        </w:rPr>
        <w:t xml:space="preserve">Văn bản của </w:t>
      </w:r>
      <w:r w:rsidRPr="00B92639">
        <w:rPr>
          <w:rFonts w:ascii="Times New Roman" w:eastAsia="Times New Roman" w:hAnsi="Times New Roman" w:cs="Times New Roman"/>
          <w:color w:val="2E2E2E"/>
          <w:sz w:val="28"/>
          <w:szCs w:val="28"/>
          <w:lang w:val="nl-NL"/>
        </w:rPr>
        <w:t xml:space="preserve">Sở Giao dịch </w:t>
      </w:r>
      <w:r w:rsidRPr="00B92639">
        <w:rPr>
          <w:rFonts w:ascii="Times New Roman" w:eastAsia="Times New Roman" w:hAnsi="Times New Roman" w:cs="Times New Roman"/>
          <w:color w:val="2E2E2E"/>
          <w:sz w:val="28"/>
          <w:szCs w:val="28"/>
          <w:lang w:val="vi-VN"/>
        </w:rPr>
        <w:t>Ngân hàng Nhà Nước thông báo k</w:t>
      </w:r>
      <w:r w:rsidRPr="00B92639">
        <w:rPr>
          <w:rFonts w:ascii="Times New Roman" w:eastAsia="Times New Roman" w:hAnsi="Times New Roman" w:cs="Times New Roman"/>
          <w:color w:val="2E2E2E"/>
          <w:sz w:val="28"/>
          <w:szCs w:val="28"/>
          <w:lang w:val="nl-NL"/>
        </w:rPr>
        <w:t xml:space="preserve">ết quả đấu thầu </w:t>
      </w:r>
      <w:r w:rsidRPr="00B92639">
        <w:rPr>
          <w:rFonts w:ascii="Times New Roman" w:eastAsia="Times New Roman" w:hAnsi="Times New Roman" w:cs="Times New Roman"/>
          <w:color w:val="2E2E2E"/>
          <w:sz w:val="28"/>
          <w:szCs w:val="28"/>
          <w:lang w:val="vi-VN"/>
        </w:rPr>
        <w:t>tín phiếu</w:t>
      </w:r>
      <w:r w:rsidRPr="00B92639">
        <w:rPr>
          <w:rFonts w:ascii="Times New Roman" w:eastAsia="Times New Roman" w:hAnsi="Times New Roman" w:cs="Times New Roman"/>
          <w:i/>
          <w:color w:val="2E2E2E"/>
          <w:sz w:val="28"/>
          <w:szCs w:val="28"/>
          <w:lang w:val="vi-VN"/>
        </w:rPr>
        <w:t>(đối với tín phiếu)</w:t>
      </w:r>
    </w:p>
    <w:p w:rsidR="00C8354C" w:rsidRPr="00A06644"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B92639">
        <w:rPr>
          <w:rFonts w:ascii="Times New Roman" w:eastAsia="Times New Roman" w:hAnsi="Times New Roman" w:cs="Times New Roman"/>
          <w:color w:val="2E2E2E"/>
          <w:sz w:val="28"/>
          <w:szCs w:val="28"/>
          <w:lang w:val="vi-VN"/>
        </w:rPr>
        <w:t>+ Các tài liệu khác kèm theo (nếu có)</w:t>
      </w:r>
    </w:p>
    <w:p w:rsidR="00C8354C" w:rsidRPr="00323686" w:rsidRDefault="00C8354C" w:rsidP="00C8354C">
      <w:pPr>
        <w:spacing w:before="60" w:after="60" w:line="264" w:lineRule="auto"/>
        <w:ind w:firstLine="600"/>
        <w:jc w:val="both"/>
        <w:rPr>
          <w:rFonts w:ascii="Times New Roman" w:eastAsia="Times New Roman" w:hAnsi="Times New Roman" w:cs="Times New Roman"/>
          <w:b/>
          <w:sz w:val="28"/>
          <w:szCs w:val="28"/>
          <w:lang w:val="vi-VN"/>
        </w:rPr>
      </w:pPr>
      <w:r w:rsidRPr="00323686">
        <w:rPr>
          <w:rFonts w:ascii="Times New Roman" w:eastAsia="Times New Roman" w:hAnsi="Times New Roman" w:cs="Times New Roman"/>
          <w:b/>
          <w:sz w:val="28"/>
          <w:szCs w:val="28"/>
        </w:rPr>
        <w:t>- Thời gian</w:t>
      </w:r>
      <w:r w:rsidRPr="00323686">
        <w:rPr>
          <w:rFonts w:ascii="Times New Roman" w:eastAsia="Times New Roman" w:hAnsi="Times New Roman" w:cs="Times New Roman"/>
          <w:b/>
          <w:sz w:val="28"/>
          <w:szCs w:val="28"/>
          <w:lang w:val="vi-VN"/>
        </w:rPr>
        <w:t xml:space="preserve"> cấp mã chính thức:</w:t>
      </w:r>
    </w:p>
    <w:p w:rsidR="00C8354C" w:rsidRPr="00323686" w:rsidRDefault="00C8354C" w:rsidP="00C8354C">
      <w:pPr>
        <w:spacing w:before="60" w:after="60" w:line="264" w:lineRule="auto"/>
        <w:ind w:firstLine="600"/>
        <w:jc w:val="both"/>
        <w:rPr>
          <w:rFonts w:ascii="Times New Roman" w:eastAsia="Times New Roman" w:hAnsi="Times New Roman" w:cs="Times New Roman"/>
          <w:sz w:val="28"/>
          <w:szCs w:val="28"/>
          <w:lang w:val="vi-VN"/>
        </w:rPr>
      </w:pPr>
      <w:r w:rsidRPr="00323686">
        <w:rPr>
          <w:rFonts w:ascii="Times New Roman" w:eastAsia="Times New Roman" w:hAnsi="Times New Roman" w:cs="Times New Roman"/>
          <w:sz w:val="28"/>
          <w:szCs w:val="28"/>
          <w:lang w:val="vi-VN"/>
        </w:rPr>
        <w:t xml:space="preserve"> Trong vòng 01 ngày kể từ ngày VSD nhận được hồ sơ đầy đủ và hợp lệ </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7C31F9">
        <w:rPr>
          <w:rFonts w:ascii="Times New Roman" w:eastAsia="Times New Roman" w:hAnsi="Times New Roman" w:cs="Times New Roman"/>
          <w:b/>
          <w:color w:val="2E2E2E"/>
          <w:sz w:val="28"/>
          <w:szCs w:val="28"/>
          <w:lang w:val="vi-VN"/>
        </w:rPr>
        <w:t xml:space="preserve">- Đối tượng </w:t>
      </w:r>
      <w:r>
        <w:rPr>
          <w:rFonts w:ascii="Times New Roman" w:eastAsia="Times New Roman" w:hAnsi="Times New Roman" w:cs="Times New Roman"/>
          <w:b/>
          <w:color w:val="2E2E2E"/>
          <w:sz w:val="28"/>
          <w:szCs w:val="28"/>
          <w:lang w:val="vi-VN"/>
        </w:rPr>
        <w:t>nộp hồ sơ</w:t>
      </w:r>
      <w:r w:rsidRPr="007C31F9">
        <w:rPr>
          <w:rFonts w:ascii="Times New Roman" w:eastAsia="Times New Roman" w:hAnsi="Times New Roman" w:cs="Times New Roman"/>
          <w:b/>
          <w:color w:val="2E2E2E"/>
          <w:sz w:val="28"/>
          <w:szCs w:val="28"/>
          <w:lang w:val="vi-VN"/>
        </w:rPr>
        <w:t>:</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Pr>
          <w:rFonts w:ascii="Times New Roman" w:eastAsia="Times New Roman" w:hAnsi="Times New Roman" w:cs="Times New Roman"/>
          <w:color w:val="2E2E2E"/>
          <w:sz w:val="28"/>
          <w:szCs w:val="28"/>
        </w:rPr>
        <w:lastRenderedPageBreak/>
        <w:t xml:space="preserve"> + </w:t>
      </w:r>
      <w:r w:rsidRPr="007C31F9">
        <w:rPr>
          <w:rFonts w:ascii="Times New Roman" w:eastAsia="Times New Roman" w:hAnsi="Times New Roman" w:cs="Times New Roman"/>
          <w:color w:val="2E2E2E"/>
          <w:sz w:val="28"/>
          <w:szCs w:val="28"/>
          <w:lang w:val="vi-VN"/>
        </w:rPr>
        <w:t>Tổ chức phát hành</w:t>
      </w:r>
      <w:r>
        <w:rPr>
          <w:rFonts w:ascii="Times New Roman" w:eastAsia="Times New Roman" w:hAnsi="Times New Roman" w:cs="Times New Roman"/>
          <w:color w:val="2E2E2E"/>
          <w:sz w:val="28"/>
          <w:szCs w:val="28"/>
        </w:rPr>
        <w:t xml:space="preserve">: công văn đề nghị tổ chức đợt đấu </w:t>
      </w:r>
      <w:r w:rsidRPr="00C8300B">
        <w:rPr>
          <w:rFonts w:ascii="Times New Roman" w:eastAsia="Times New Roman" w:hAnsi="Times New Roman" w:cs="Times New Roman"/>
          <w:color w:val="2E2E2E"/>
          <w:sz w:val="28"/>
          <w:szCs w:val="28"/>
          <w:lang w:val="nl-NL"/>
        </w:rPr>
        <w:t>thầu trái phiếu/tín phiếu</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lang w:val="nl-NL"/>
        </w:rPr>
      </w:pPr>
      <w:r>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Sở Giao dịch Chứng khoán Hà Nội (HNX)</w:t>
      </w:r>
      <w:r>
        <w:rPr>
          <w:rFonts w:ascii="Times New Roman" w:eastAsia="Times New Roman" w:hAnsi="Times New Roman" w:cs="Times New Roman"/>
          <w:color w:val="2E2E2E"/>
          <w:sz w:val="28"/>
          <w:szCs w:val="28"/>
          <w:lang w:val="nl-NL"/>
        </w:rPr>
        <w:t xml:space="preserve">: văn bản thông báo </w:t>
      </w:r>
      <w:r w:rsidRPr="00B92639">
        <w:rPr>
          <w:rFonts w:ascii="Times New Roman" w:eastAsia="Times New Roman" w:hAnsi="Times New Roman" w:cs="Times New Roman"/>
          <w:color w:val="2E2E2E"/>
          <w:sz w:val="28"/>
          <w:szCs w:val="28"/>
          <w:lang w:val="vi-VN"/>
        </w:rPr>
        <w:t>k</w:t>
      </w:r>
      <w:r w:rsidRPr="00B92639">
        <w:rPr>
          <w:rFonts w:ascii="Times New Roman" w:eastAsia="Times New Roman" w:hAnsi="Times New Roman" w:cs="Times New Roman"/>
          <w:color w:val="2E2E2E"/>
          <w:sz w:val="28"/>
          <w:szCs w:val="28"/>
          <w:lang w:val="nl-NL"/>
        </w:rPr>
        <w:t>ết quả đấu thầu trái phiếu</w:t>
      </w:r>
    </w:p>
    <w:p w:rsidR="00C8354C" w:rsidRPr="008A05F3" w:rsidRDefault="00C8354C" w:rsidP="00C8354C">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lang w:val="nl-NL"/>
        </w:rPr>
        <w:t xml:space="preserve">+ </w:t>
      </w:r>
      <w:r w:rsidRPr="00B92639">
        <w:rPr>
          <w:rFonts w:ascii="Times New Roman" w:eastAsia="Times New Roman" w:hAnsi="Times New Roman" w:cs="Times New Roman"/>
          <w:color w:val="2E2E2E"/>
          <w:sz w:val="28"/>
          <w:szCs w:val="28"/>
          <w:lang w:val="nl-NL"/>
        </w:rPr>
        <w:t xml:space="preserve">Sở Giao dịch </w:t>
      </w:r>
      <w:r w:rsidRPr="00B92639">
        <w:rPr>
          <w:rFonts w:ascii="Times New Roman" w:eastAsia="Times New Roman" w:hAnsi="Times New Roman" w:cs="Times New Roman"/>
          <w:color w:val="2E2E2E"/>
          <w:sz w:val="28"/>
          <w:szCs w:val="28"/>
          <w:lang w:val="vi-VN"/>
        </w:rPr>
        <w:t>Ngân hàng Nhà Nước</w:t>
      </w:r>
      <w:r>
        <w:rPr>
          <w:rFonts w:ascii="Times New Roman" w:eastAsia="Times New Roman" w:hAnsi="Times New Roman" w:cs="Times New Roman"/>
          <w:color w:val="2E2E2E"/>
          <w:sz w:val="28"/>
          <w:szCs w:val="28"/>
        </w:rPr>
        <w:t xml:space="preserve">: văn bản thông báo </w:t>
      </w:r>
      <w:r w:rsidRPr="00B92639">
        <w:rPr>
          <w:rFonts w:ascii="Times New Roman" w:eastAsia="Times New Roman" w:hAnsi="Times New Roman" w:cs="Times New Roman"/>
          <w:color w:val="2E2E2E"/>
          <w:sz w:val="28"/>
          <w:szCs w:val="28"/>
          <w:lang w:val="vi-VN"/>
        </w:rPr>
        <w:t>k</w:t>
      </w:r>
      <w:r w:rsidRPr="00B92639">
        <w:rPr>
          <w:rFonts w:ascii="Times New Roman" w:eastAsia="Times New Roman" w:hAnsi="Times New Roman" w:cs="Times New Roman"/>
          <w:color w:val="2E2E2E"/>
          <w:sz w:val="28"/>
          <w:szCs w:val="28"/>
          <w:lang w:val="nl-NL"/>
        </w:rPr>
        <w:t xml:space="preserve">ết quả đấu thầu </w:t>
      </w:r>
      <w:r w:rsidRPr="00B92639">
        <w:rPr>
          <w:rFonts w:ascii="Times New Roman" w:eastAsia="Times New Roman" w:hAnsi="Times New Roman" w:cs="Times New Roman"/>
          <w:color w:val="2E2E2E"/>
          <w:sz w:val="28"/>
          <w:szCs w:val="28"/>
          <w:lang w:val="vi-VN"/>
        </w:rPr>
        <w:t>tín phiếu</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lang w:val="vi-VN"/>
        </w:rPr>
      </w:pPr>
      <w:r w:rsidRPr="007C31F9">
        <w:rPr>
          <w:rFonts w:ascii="Times New Roman" w:eastAsia="Times New Roman" w:hAnsi="Times New Roman" w:cs="Times New Roman"/>
          <w:b/>
          <w:color w:val="2E2E2E"/>
          <w:sz w:val="28"/>
          <w:szCs w:val="28"/>
          <w:lang w:val="vi-VN"/>
        </w:rPr>
        <w:t>- Cơ quan thực hiện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 xml:space="preserve">+ Cơ quan có thẩm quyền quyết định: VSD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 xml:space="preserve">+ </w:t>
      </w:r>
      <w:r>
        <w:rPr>
          <w:rFonts w:ascii="Times New Roman" w:eastAsia="Times New Roman" w:hAnsi="Times New Roman" w:cs="Times New Roman"/>
          <w:color w:val="2E2E2E"/>
          <w:sz w:val="28"/>
          <w:szCs w:val="28"/>
          <w:lang w:val="vi-VN"/>
        </w:rPr>
        <w:t>Đơn vị t</w:t>
      </w:r>
      <w:r w:rsidRPr="007C31F9">
        <w:rPr>
          <w:rFonts w:ascii="Times New Roman" w:eastAsia="Times New Roman" w:hAnsi="Times New Roman" w:cs="Times New Roman"/>
          <w:color w:val="2E2E2E"/>
          <w:sz w:val="28"/>
          <w:szCs w:val="28"/>
          <w:lang w:val="vi-VN"/>
        </w:rPr>
        <w:t xml:space="preserve">rực tiếp thực hiện cấp mã chứng khoán: Phòng Đăng ký chứng khoán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b/>
          <w:color w:val="2E2E2E"/>
          <w:sz w:val="28"/>
          <w:szCs w:val="28"/>
          <w:lang w:val="vi-VN"/>
        </w:rPr>
        <w:t>- Kết quả thực hiện :</w:t>
      </w:r>
      <w:r w:rsidRPr="007C31F9">
        <w:rPr>
          <w:rFonts w:ascii="Times New Roman" w:eastAsia="Times New Roman" w:hAnsi="Times New Roman" w:cs="Times New Roman"/>
          <w:color w:val="2E2E2E"/>
          <w:sz w:val="28"/>
          <w:szCs w:val="28"/>
          <w:lang w:val="vi-VN"/>
        </w:rPr>
        <w:t xml:space="preserve"> </w:t>
      </w:r>
    </w:p>
    <w:p w:rsidR="00C8354C" w:rsidRPr="007C31F9" w:rsidRDefault="00C8354C" w:rsidP="00C8354C">
      <w:pPr>
        <w:spacing w:before="60" w:after="60" w:line="264" w:lineRule="auto"/>
        <w:ind w:firstLine="600"/>
        <w:jc w:val="both"/>
        <w:rPr>
          <w:rFonts w:ascii="Times New Roman" w:eastAsia="Times New Roman" w:hAnsi="Times New Roman" w:cs="Times New Roman"/>
          <w:color w:val="2E2E2E"/>
          <w:sz w:val="28"/>
          <w:szCs w:val="28"/>
          <w:lang w:val="vi-VN"/>
        </w:rPr>
      </w:pPr>
      <w:r w:rsidRPr="007C31F9">
        <w:rPr>
          <w:rFonts w:ascii="Times New Roman" w:eastAsia="Times New Roman" w:hAnsi="Times New Roman" w:cs="Times New Roman"/>
          <w:color w:val="2E2E2E"/>
          <w:sz w:val="28"/>
          <w:szCs w:val="28"/>
          <w:lang w:val="vi-VN"/>
        </w:rPr>
        <w:t>VSD cấp Giấy chứng nhận đăng ký chứng khoán đồng thời với việc cấp mã chứng khoán.</w:t>
      </w:r>
    </w:p>
    <w:p w:rsidR="00C8354C" w:rsidRPr="007C31F9" w:rsidRDefault="00C8354C" w:rsidP="00C8354C">
      <w:pPr>
        <w:spacing w:before="60" w:after="60" w:line="264" w:lineRule="auto"/>
        <w:ind w:firstLine="600"/>
        <w:jc w:val="both"/>
        <w:rPr>
          <w:rFonts w:ascii="Times New Roman" w:eastAsia="Times New Roman" w:hAnsi="Times New Roman" w:cs="Times New Roman"/>
          <w:b/>
          <w:color w:val="2E2E2E"/>
          <w:sz w:val="28"/>
          <w:szCs w:val="28"/>
        </w:rPr>
      </w:pPr>
      <w:r w:rsidRPr="007C31F9">
        <w:rPr>
          <w:rFonts w:ascii="Times New Roman" w:eastAsia="Times New Roman" w:hAnsi="Times New Roman" w:cs="Times New Roman"/>
          <w:b/>
          <w:color w:val="2E2E2E"/>
          <w:sz w:val="28"/>
          <w:szCs w:val="28"/>
        </w:rPr>
        <w:t>- Căn cứ pháp lý:</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rPr>
      </w:pPr>
      <w:r>
        <w:rPr>
          <w:rFonts w:ascii="Times New Roman" w:eastAsia="Times New Roman" w:hAnsi="Times New Roman" w:cs="Times New Roman"/>
          <w:color w:val="2E2E2E"/>
          <w:sz w:val="28"/>
          <w:szCs w:val="28"/>
        </w:rPr>
        <w:t xml:space="preserve">+ </w:t>
      </w:r>
      <w:r w:rsidRPr="006E24F6">
        <w:rPr>
          <w:rFonts w:ascii="Times New Roman" w:eastAsia="Times New Roman" w:hAnsi="Times New Roman" w:cs="Times New Roman"/>
          <w:color w:val="2E2E2E"/>
          <w:sz w:val="28"/>
          <w:szCs w:val="28"/>
        </w:rPr>
        <w:t>Quyết định số 87/2007/QĐ-BTC ngày 22 tháng 10 năm 2007 của Bộ trưởng Bộ Tài chính về việc ban hành Quy chế đăng ký, lưu ký, bù trừ và thanh toán chứng khoán và Thông tư số 43/2010/TT-BTC ngày 25 tháng 3 năm 2010 về việc sửa đổi, bổ sung Quy chế đăng chế đăng ký, lưu ký, bù trừ và thanh toán chứng khoán</w:t>
      </w:r>
      <w:r>
        <w:rPr>
          <w:rFonts w:ascii="Times New Roman" w:eastAsia="Times New Roman" w:hAnsi="Times New Roman" w:cs="Times New Roman"/>
          <w:color w:val="2E2E2E"/>
          <w:sz w:val="28"/>
          <w:szCs w:val="28"/>
        </w:rPr>
        <w:t>.</w:t>
      </w:r>
    </w:p>
    <w:p w:rsidR="00C8354C" w:rsidRPr="004662D5" w:rsidRDefault="00C8354C" w:rsidP="00C8354C">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Quyết định số 36/QĐ-VSD ngày 25/4/2012 của VSD về việc ban hành Quy chế về hoạt động đăng ký chứng khoán.</w:t>
      </w:r>
    </w:p>
    <w:p w:rsidR="00C8354C" w:rsidRPr="00B92639" w:rsidRDefault="00C8354C" w:rsidP="00C8354C">
      <w:pPr>
        <w:numPr>
          <w:ilvl w:val="0"/>
          <w:numId w:val="1"/>
        </w:numPr>
        <w:tabs>
          <w:tab w:val="clear" w:pos="4050"/>
          <w:tab w:val="left" w:pos="840"/>
          <w:tab w:val="num" w:pos="4755"/>
        </w:tabs>
        <w:spacing w:before="60" w:after="60" w:line="264" w:lineRule="auto"/>
        <w:ind w:left="0" w:firstLine="600"/>
        <w:jc w:val="both"/>
        <w:rPr>
          <w:rFonts w:ascii="Times New Roman" w:eastAsia="Times New Roman" w:hAnsi="Times New Roman" w:cs="Times New Roman"/>
          <w:sz w:val="28"/>
          <w:szCs w:val="28"/>
        </w:rPr>
      </w:pPr>
      <w:r w:rsidRPr="00B92639">
        <w:rPr>
          <w:rFonts w:ascii="Times New Roman" w:eastAsia="Times New Roman" w:hAnsi="Times New Roman" w:cs="Times New Roman"/>
          <w:sz w:val="28"/>
          <w:szCs w:val="28"/>
        </w:rPr>
        <w:t>Quyết định 150/QĐ-VSD ngày 21/08/2012 của VSD về việc ban hành Quy chế hoạt động đăng ký, lưu ký, bù trừ và thanh toán giao dịch tín phiếu kho bạc</w:t>
      </w:r>
    </w:p>
    <w:p w:rsidR="00C8354C" w:rsidRDefault="00C8354C" w:rsidP="00C8354C">
      <w:pPr>
        <w:numPr>
          <w:ilvl w:val="0"/>
          <w:numId w:val="1"/>
        </w:numPr>
        <w:tabs>
          <w:tab w:val="left" w:pos="840"/>
        </w:tabs>
        <w:spacing w:before="60" w:after="60" w:line="264" w:lineRule="auto"/>
        <w:ind w:left="0" w:firstLine="600"/>
        <w:jc w:val="both"/>
        <w:rPr>
          <w:rFonts w:ascii="Times New Roman" w:eastAsia="Times New Roman" w:hAnsi="Times New Roman" w:cs="Times New Roman"/>
          <w:color w:val="2E2E2E"/>
          <w:sz w:val="28"/>
          <w:szCs w:val="28"/>
        </w:rPr>
      </w:pPr>
      <w:r w:rsidRPr="004662D5">
        <w:rPr>
          <w:rFonts w:ascii="Times New Roman" w:eastAsia="Times New Roman" w:hAnsi="Times New Roman" w:cs="Times New Roman"/>
          <w:color w:val="2E2E2E"/>
          <w:sz w:val="28"/>
          <w:szCs w:val="28"/>
        </w:rPr>
        <w:t>Quyết định số 149/QĐ-VSD ngày 21/08/2012 của VSD về việc ban hành Quy chế cấp mã chứng khoán trong nước và cấp mã số định danh chứng khoán quốc tế tại VSD.</w:t>
      </w:r>
    </w:p>
    <w:p w:rsidR="00C8354C" w:rsidRDefault="00C8354C" w:rsidP="00C8354C">
      <w:pPr>
        <w:spacing w:before="60" w:after="60" w:line="264" w:lineRule="auto"/>
        <w:ind w:firstLine="600"/>
        <w:jc w:val="both"/>
        <w:rPr>
          <w:rFonts w:ascii="Times New Roman" w:eastAsia="Times New Roman" w:hAnsi="Times New Roman" w:cs="Times New Roman"/>
          <w:color w:val="2E2E2E"/>
          <w:sz w:val="28"/>
          <w:szCs w:val="28"/>
        </w:rPr>
      </w:pPr>
      <w:r w:rsidRPr="00BB0EE0">
        <w:rPr>
          <w:rFonts w:ascii="Times New Roman" w:eastAsia="Times New Roman" w:hAnsi="Times New Roman" w:cs="Times New Roman"/>
          <w:color w:val="2E2E2E"/>
          <w:sz w:val="28"/>
          <w:szCs w:val="28"/>
        </w:rPr>
        <w:t>+ Quyết định số 115/QĐ-VSD ngày 25/08/2014 của VSD về việc sửa đổi, bổ sung Quy chế cấp mã chứng khoán trong nước và cấp mã số định danh chứng khoán quốc tế ban hành kèm theo Quyết định số 149/QĐ-VSD ngày 21/08/2012 của Tổng Giám đốc VSD.</w:t>
      </w:r>
    </w:p>
    <w:p w:rsidR="00EA1A32" w:rsidRDefault="00EA1A32"/>
    <w:sectPr w:rsidR="00EA1A32" w:rsidSect="00EA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4736B"/>
    <w:multiLevelType w:val="hybridMultilevel"/>
    <w:tmpl w:val="24C62776"/>
    <w:lvl w:ilvl="0" w:tplc="54000E3E">
      <w:start w:val="1"/>
      <w:numFmt w:val="bullet"/>
      <w:lvlText w:val="+"/>
      <w:lvlJc w:val="left"/>
      <w:pPr>
        <w:tabs>
          <w:tab w:val="num" w:pos="4050"/>
        </w:tabs>
        <w:ind w:left="4050" w:hanging="360"/>
      </w:pPr>
      <w:rPr>
        <w:rFonts w:ascii="Courier New" w:hAnsi="Courier New" w:hint="default"/>
      </w:rPr>
    </w:lvl>
    <w:lvl w:ilvl="1" w:tplc="04090003" w:tentative="1">
      <w:start w:val="1"/>
      <w:numFmt w:val="bullet"/>
      <w:lvlText w:val="o"/>
      <w:lvlJc w:val="left"/>
      <w:pPr>
        <w:tabs>
          <w:tab w:val="num" w:pos="330"/>
        </w:tabs>
        <w:ind w:left="330" w:hanging="360"/>
      </w:pPr>
      <w:rPr>
        <w:rFonts w:ascii="Courier New" w:hAnsi="Courier New" w:cs="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cs="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cs="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8354C"/>
    <w:rsid w:val="00C8354C"/>
    <w:rsid w:val="00EA1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5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8354C"/>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C8354C"/>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Company>Hewlett-Packard Company</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1</cp:revision>
  <dcterms:created xsi:type="dcterms:W3CDTF">2014-12-30T03:18:00Z</dcterms:created>
  <dcterms:modified xsi:type="dcterms:W3CDTF">2014-12-30T03:18:00Z</dcterms:modified>
</cp:coreProperties>
</file>